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jc w:val="center"/>
        <w:rPr>
          <w:rFonts w:ascii="Times New Roman" w:hAnsi="Times New Roman" w:eastAsia="" w:cs="Times New Roman" w:eastAsiaTheme="minorEastAsia"/>
          <w:b/>
          <w:b/>
          <w:sz w:val="24"/>
          <w:szCs w:val="24"/>
          <w:lang w:eastAsia="ru-RU"/>
        </w:rPr>
      </w:pPr>
      <w:r>
        <w:rPr/>
      </w:r>
    </w:p>
    <w:p>
      <w:pPr>
        <w:pStyle w:val="Normal"/>
        <w:spacing w:before="280" w:after="0"/>
        <w:jc w:val="center"/>
        <w:rPr/>
      </w:pP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ПОВЫШЕНИЕ ДИНАМИЧЕСКОГО ДИАПАЗОНА ЯРКОСТНЫХ ТЕМПЕРАТУР РАДИОИЗОБРАЖЕНИЙ СИБИРСКОГО РАДИОГЕЛИОГРАФА  </w:t>
      </w:r>
    </w:p>
    <w:p>
      <w:pPr>
        <w:pStyle w:val="Normal"/>
        <w:spacing w:before="109" w:after="0"/>
        <w:jc w:val="center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Авторы результата — к.ф.-м.н. С.В. Лесовой, М.В. Глоба</w:t>
      </w:r>
    </w:p>
    <w:p>
      <w:pPr>
        <w:pStyle w:val="Normal"/>
        <w:spacing w:before="109"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ИСЗФ СО РАН</w:t>
      </w:r>
    </w:p>
    <w:p>
      <w:pPr>
        <w:pStyle w:val="Normal"/>
        <w:ind w:firstLine="567"/>
        <w:jc w:val="both"/>
        <w:rPr>
          <w:rFonts w:ascii="Times New Roman" w:hAnsi="Times New Roman" w:eastAsia="Verdana" w:cs="Verdana"/>
          <w:color w:val="333333"/>
          <w:sz w:val="24"/>
          <w:szCs w:val="24"/>
          <w:highlight w:val="white"/>
        </w:rPr>
      </w:pPr>
      <w:r>
        <w:rPr>
          <w:rFonts w:eastAsia="Verdana" w:cs="Verdana" w:ascii="Times New Roman" w:hAnsi="Times New Roman"/>
          <w:color w:val="333333"/>
          <w:sz w:val="24"/>
          <w:szCs w:val="24"/>
          <w:highlight w:val="white"/>
        </w:rPr>
      </w:r>
    </w:p>
    <w:p>
      <w:pPr>
        <w:pStyle w:val="Normal"/>
        <w:ind w:firstLine="567"/>
        <w:jc w:val="both"/>
        <w:rPr/>
      </w:pPr>
      <w:r>
        <w:rPr>
          <w:rFonts w:eastAsia="Verdana" w:cs="Verdana" w:ascii="Times New Roman" w:hAnsi="Times New Roman"/>
          <w:sz w:val="24"/>
          <w:szCs w:val="24"/>
          <w:highlight w:val="white"/>
        </w:rPr>
        <w:t>Разработаны методики повышения качества получаемых данных на Сибирском радиогелиографе (СРГ-48), которые включали в себя систему адаптивной коррекции разности длин оптических кабелей, позволяющей минимизировать разброс фаз антенн и упростить процесс их калибровки, а также методику улучшения амплитудной калибровки с помощью добавления измерений видностей парами а</w:t>
      </w: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 xml:space="preserve">нтеннам с двойным шагом. В результате удалось получить ридоизображения Солнца с большим динамическим диапазоном яркостных температур на постоянной основе без привлечения </w:t>
      </w:r>
      <w:r>
        <w:rPr>
          <w:rFonts w:eastAsia="Verdana" w:cs="Verdana" w:ascii="Times New Roman" w:hAnsi="Times New Roman"/>
          <w:sz w:val="24"/>
          <w:szCs w:val="24"/>
          <w:highlight w:val="white"/>
        </w:rPr>
        <w:t>нелинейных методов, таких как самокалибровка. Эти разработки были заложены в программное обеспечение сбора и обработки данных новой решетки СРГ 3-6 ГГц, испытания которой начались в 2021 году. Изображения строятся в реальном времени и публикуются на сайте [http://badary.iszf.irk.ru/srhCorrPlot.php</w:t>
      </w:r>
      <w:r>
        <w:rPr>
          <w:rFonts w:eastAsia="Verdana" w:cs="Verdana" w:ascii="Times New Roman" w:hAnsi="Times New Roman"/>
          <w:sz w:val="24"/>
          <w:szCs w:val="24"/>
          <w:highlight w:val="white"/>
          <w:u w:val="single"/>
        </w:rPr>
        <w:t>]</w:t>
      </w:r>
      <w:r>
        <w:rPr>
          <w:rFonts w:eastAsia="Verdana" w:cs="Verdana" w:ascii="Times New Roman" w:hAnsi="Times New Roman"/>
          <w:sz w:val="24"/>
          <w:szCs w:val="24"/>
          <w:highlight w:val="white"/>
        </w:rPr>
        <w:t xml:space="preserve">. Пример изображений показан на </w:t>
      </w:r>
      <w:r>
        <w:rPr>
          <w:rFonts w:eastAsia="Verdana" w:cs="Verdana" w:ascii="Times New Roman" w:hAnsi="Times New Roman"/>
          <w:sz w:val="24"/>
          <w:szCs w:val="24"/>
        </w:rPr>
        <w:t>рисунке 1.</w:t>
      </w:r>
    </w:p>
    <w:p>
      <w:pPr>
        <w:pStyle w:val="Normal"/>
        <w:ind w:firstLine="567"/>
        <w:jc w:val="both"/>
        <w:rPr>
          <w:rFonts w:ascii="Times New Roman" w:hAnsi="Times New Roman" w:eastAsia="Verdana" w:cs="Verdana"/>
          <w:color w:val="333333"/>
          <w:highlight w:val="white"/>
        </w:rPr>
      </w:pPr>
      <w:r>
        <w:rPr>
          <w:rFonts w:eastAsia="Verdana" w:cs="Verdana" w:ascii="Times New Roman" w:hAnsi="Times New Roman"/>
          <w:color w:val="333333"/>
          <w:highlight w:val="white"/>
        </w:rPr>
      </w:r>
    </w:p>
    <w:p>
      <w:pPr>
        <w:pStyle w:val="LOnormal"/>
        <w:rPr/>
      </w:pPr>
      <w:r>
        <w:rPr>
          <w:rFonts w:eastAsia="Times New Roman" w:cs="Times New Roman" w:ascii="Times New Roman" w:hAnsi="Times New Roman"/>
        </w:rPr>
        <w:t xml:space="preserve">          </w:t>
      </w:r>
      <w:r>
        <w:rPr/>
        <w:drawing>
          <wp:inline distT="0" distB="0" distL="0" distR="0">
            <wp:extent cx="5734050" cy="2324735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12" r="-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jc w:val="center"/>
        <w:rPr/>
      </w:pPr>
      <w:r>
        <w:rPr>
          <w:rFonts w:eastAsia="Verdana" w:cs="Verdana" w:ascii="Times New Roman" w:hAnsi="Times New Roman"/>
          <w:color w:val="333333"/>
        </w:rPr>
        <w:t xml:space="preserve">Рисунок </w:t>
      </w:r>
      <w:r>
        <w:rPr>
          <w:rFonts w:eastAsia="Verdana" w:cs="Verdana" w:ascii="Times New Roman" w:hAnsi="Times New Roman"/>
        </w:rPr>
        <w:t xml:space="preserve">1 </w:t>
      </w:r>
      <w:r>
        <w:rPr>
          <w:rFonts w:eastAsia="Verdana" w:cs="Verdana" w:ascii="Times New Roman" w:hAnsi="Times New Roman"/>
          <w:highlight w:val="white"/>
        </w:rPr>
        <w:t>- Сверху - изображения СРГ, усредненные в диапазоне частот 2.8 - 3.5 ГГц за 1-5 мая 2021 года, снизу - изображения SDO/AIA на длине волны 304А за аналогичный период.</w:t>
      </w:r>
    </w:p>
    <w:p>
      <w:pPr>
        <w:pStyle w:val="LO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ind w:firstLine="567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Публикации:</w:t>
      </w:r>
    </w:p>
    <w:p>
      <w:pPr>
        <w:pStyle w:val="LOnormal"/>
        <w:spacing w:lineRule="auto" w:line="240"/>
        <w:ind w:firstLine="567"/>
        <w:jc w:val="both"/>
        <w:rPr/>
      </w:pPr>
      <w:r>
        <w:rPr>
          <w:rFonts w:eastAsia="Arial" w:cs="Arial" w:ascii="Times New Roman" w:hAnsi="Times New Roman"/>
          <w:highlight w:val="white"/>
        </w:rPr>
        <w:t>1. Лесовой С.В., Глоба М.В. «Измерение задержек в приемном тракте Сибирского радиогелиографа» Солнечно-земная физика. 2021. Т. 7, № 4. С. 100–104. DOI: 10.12737/szf-74202110</w:t>
      </w:r>
      <w:r>
        <w:rPr>
          <w:rFonts w:eastAsia="Arial" w:cs="Arial" w:ascii="Times New Roman" w:hAnsi="Times New Roman"/>
        </w:rPr>
        <w:t xml:space="preserve">; </w:t>
      </w:r>
    </w:p>
    <w:p>
      <w:pPr>
        <w:pStyle w:val="LOnormal"/>
        <w:spacing w:lineRule="auto" w:line="240"/>
        <w:ind w:firstLine="567"/>
        <w:jc w:val="both"/>
        <w:rPr/>
      </w:pPr>
      <w:r>
        <w:rPr>
          <w:rFonts w:eastAsia="Arial" w:cs="Arial" w:ascii="Times New Roman" w:hAnsi="Times New Roman"/>
        </w:rPr>
        <w:t xml:space="preserve">2. </w:t>
      </w:r>
      <w:r>
        <w:rPr>
          <w:rFonts w:eastAsia="Verdana" w:cs="Verdana" w:ascii="Times New Roman" w:hAnsi="Times New Roman"/>
          <w:highlight w:val="white"/>
        </w:rPr>
        <w:t>Глоба М.В., Лесовой С.В. «Калибровка амплитуд коэффициентов передачи антенн Сибирского радиогелиографа с использованием избыточности» Солнечно-земная физика</w:t>
      </w:r>
      <w:r>
        <w:rPr>
          <w:rFonts w:eastAsia="Arial" w:cs="Arial" w:ascii="Times New Roman" w:hAnsi="Times New Roman"/>
          <w:highlight w:val="white"/>
        </w:rPr>
        <w:t>. 2021. Т. 7, № 4. С. 105–111. DOI: 10.12737/szf-74202111.</w:t>
      </w:r>
    </w:p>
    <w:p>
      <w:pPr>
        <w:pStyle w:val="Normal"/>
        <w:tabs>
          <w:tab w:val="clear" w:pos="720"/>
          <w:tab w:val="left" w:pos="851" w:leader="none"/>
        </w:tabs>
        <w:ind w:firstLine="567"/>
        <w:rPr>
          <w:rFonts w:ascii="Times New Roman" w:hAnsi="Times New Roman" w:eastAsia="Verdana" w:cs="Times New Roman"/>
          <w:sz w:val="24"/>
          <w:szCs w:val="24"/>
          <w:highlight w:val="white"/>
        </w:rPr>
      </w:pPr>
      <w:r>
        <w:rPr>
          <w:rFonts w:eastAsia="Verdana" w:cs="Times New Roman" w:ascii="Times New Roman" w:hAnsi="Times New Roman"/>
          <w:sz w:val="24"/>
          <w:szCs w:val="24"/>
          <w:highlight w:val="white"/>
        </w:rPr>
      </w:r>
    </w:p>
    <w:p>
      <w:p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jc w:val="center"/>
        <w:rPr>
          <w:rFonts w:ascii="Times New Roman" w:hAnsi="Times New Roman" w:eastAsia="" w:cs="Times New Roman" w:eastAsiaTheme="minorEastAsia"/>
          <w:b/>
          <w:b/>
          <w:sz w:val="24"/>
          <w:szCs w:val="24"/>
          <w:lang w:eastAsia="ru-RU"/>
        </w:rPr>
      </w:pPr>
      <w:r>
        <w:rPr>
          <w:rFonts w:eastAsia="" w:cs="Times New Roman" w:ascii="Times New Roman" w:hAnsi="Times New Roman" w:eastAsiaTheme="minorEastAsia"/>
          <w:b/>
          <w:sz w:val="24"/>
          <w:szCs w:val="24"/>
          <w:lang w:eastAsia="ru-RU"/>
        </w:rPr>
        <w:t xml:space="preserve">Создание цифровой многофункциональной </w:t>
      </w:r>
    </w:p>
    <w:p>
      <w:p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jc w:val="center"/>
        <w:rPr>
          <w:rFonts w:ascii="Times New Roman" w:hAnsi="Times New Roman" w:eastAsia="" w:cs="Times New Roman" w:eastAsiaTheme="minorEastAsia"/>
          <w:b/>
          <w:b/>
          <w:sz w:val="24"/>
          <w:szCs w:val="24"/>
          <w:lang w:eastAsia="ru-RU"/>
        </w:rPr>
      </w:pPr>
      <w:r>
        <w:rPr>
          <w:rFonts w:eastAsia="" w:cs="Times New Roman" w:ascii="Times New Roman" w:hAnsi="Times New Roman" w:eastAsiaTheme="minorEastAsia"/>
          <w:b/>
          <w:sz w:val="24"/>
          <w:szCs w:val="24"/>
          <w:lang w:eastAsia="ru-RU"/>
        </w:rPr>
        <w:t xml:space="preserve">системы преобразования сигналов для радиотелескопов </w:t>
      </w:r>
    </w:p>
    <w:p>
      <w:p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8849" w:leader="none"/>
        </w:tabs>
        <w:spacing w:lineRule="auto" w:line="360" w:before="0" w:after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Маршалов Д.А., Носов Е.В., Федотов Л.В., Шейнман Ю.С, Бердников А.С. (ИПА РАН)</w:t>
      </w:r>
    </w:p>
    <w:p>
      <w:p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color w:val="000000"/>
          <w:sz w:val="24"/>
          <w:szCs w:val="24"/>
          <w:highlight w:val="white"/>
        </w:rPr>
        <w:tab/>
      </w:r>
      <w:r>
        <w:rPr>
          <w:rFonts w:eastAsia="Times New Roman" w:cs="Times New Roman" w:ascii="Times New Roman" w:hAnsi="Times New Roman"/>
          <w:i/>
          <w:color w:val="000000"/>
          <w:sz w:val="24"/>
          <w:szCs w:val="24"/>
        </w:rPr>
        <w:t>В ИПА РАН завершено изготовление и ввод в эксплуатацию первой отечественной многофункциональной системы преобразования сигналов (МСПС), обеспечивающей работу радиотелескопа при проведении любых радиоастрономических наблюдений. Система включает в себя до 12 каналов, каждый из которых содержит АЦП с тактовой частотой дискретизации 4096 МГц и диапазоном входных частот до 2 ГГц. Это позволяет напрямую оцифровывать как сигналы с выходов приемных устройств радиотелескопов РТ-32 с полосой до 1 ГГц, так и выходные сигналы 3-диапазонных (S/X/Ka) приемных систем радиотелескопов РТ-13 с полосой 1 – 2 ГГц или сверхширокополосных (3 – 16 ГГц) приемных систем, имеющих 8 выходов с полосой 0,05 – 2 ГГц. Суммарная скорость информационного потока на выходе МСПС достигает 96 Гбит/с. Система размещается непосредственно на антенне и отличается тем, что она способна обеспечить преобразование и регистрацию сигналов не только в режиме РСДБ с широкополосными или узкополосными каналами, но и в других режимах работы радиотелескопа, например, в режиме радиометрической регистрации сигналов или в режиме регистрации радиоизлучения в спектральных линиях. Переход на другой режим работы осуществляется оперативно путем дистанционного изменения прошивки ПЛИС в каналах системы и программы процессора, управляющего ее работой.</w:t>
      </w:r>
    </w:p>
    <w:p>
      <w:p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color w:val="212529"/>
          <w:sz w:val="24"/>
          <w:szCs w:val="24"/>
          <w:lang w:val="en-US"/>
        </w:rPr>
      </w:pPr>
      <w:r>
        <w:rPr/>
        <w:drawing>
          <wp:inline distT="0" distB="0" distL="0" distR="0">
            <wp:extent cx="6105525" cy="3381375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" w:cs="Times New Roman" w:ascii="Times New Roman" w:hAnsi="Times New Roman" w:eastAsiaTheme="minorEastAsia"/>
          <w:sz w:val="24"/>
          <w:szCs w:val="24"/>
          <w:lang w:eastAsia="ru-RU"/>
        </w:rPr>
        <w:tab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iCs/>
          <w:sz w:val="24"/>
          <w:szCs w:val="24"/>
        </w:rPr>
        <w:t>Тема</w:t>
      </w:r>
      <w:r>
        <w:rPr>
          <w:rFonts w:cs="Times New Roman" w:ascii="Times New Roman" w:hAnsi="Times New Roman"/>
          <w:iCs/>
          <w:sz w:val="24"/>
          <w:szCs w:val="24"/>
        </w:rPr>
        <w:t xml:space="preserve">: Исследование и разработка методов и аппаратно-программных средств комплекса «Квазар-КВО», шифр FFUZ-2021-0006. </w:t>
      </w:r>
      <w:r>
        <w:rPr>
          <w:rFonts w:cs="Times New Roman" w:ascii="Times New Roman" w:hAnsi="Times New Roman"/>
          <w:b/>
          <w:iCs/>
          <w:sz w:val="24"/>
          <w:szCs w:val="24"/>
        </w:rPr>
        <w:t>Направление</w:t>
      </w:r>
      <w:r>
        <w:rPr>
          <w:rFonts w:cs="Times New Roman" w:ascii="Times New Roman" w:hAnsi="Times New Roman"/>
          <w:iCs/>
          <w:sz w:val="24"/>
          <w:szCs w:val="24"/>
        </w:rPr>
        <w:t xml:space="preserve"> ПФНИ 1.3.7.6.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Публикации:</w:t>
      </w:r>
    </w:p>
    <w:p>
      <w:pPr>
        <w:pStyle w:val="Normal"/>
        <w:numPr>
          <w:ilvl w:val="0"/>
          <w:numId w:val="1"/>
        </w:numPr>
        <w:pBdr/>
        <w:spacing w:lineRule="auto" w:line="240" w:before="0" w:after="0"/>
        <w:ind w:left="720" w:hanging="360"/>
        <w:jc w:val="both"/>
        <w:rPr>
          <w:rFonts w:ascii="Times New Roman" w:hAnsi="Times New Roman" w:eastAsia="Times New Roman" w:cs="Times New Roman"/>
          <w:color w:val="212529"/>
          <w:sz w:val="24"/>
          <w:szCs w:val="24"/>
          <w:lang w:val="en-US"/>
        </w:rPr>
      </w:pPr>
      <w:r>
        <w:rPr>
          <w:rFonts w:cs="Times New Roman" w:ascii="Times New Roman" w:hAnsi="Times New Roman"/>
          <w:i/>
          <w:sz w:val="24"/>
          <w:szCs w:val="24"/>
          <w:lang w:val="en-US"/>
        </w:rPr>
        <w:t>Nosov E., Marshalov D., Fedotov L., Sheynman Y</w:t>
      </w:r>
      <w:r>
        <w:rPr>
          <w:rFonts w:cs="Times New Roman" w:ascii="Times New Roman" w:hAnsi="Times New Roman"/>
          <w:sz w:val="24"/>
          <w:szCs w:val="24"/>
          <w:lang w:val="en-US"/>
        </w:rPr>
        <w:t>. Multifunctional Digital Backend for Quasar VLBI network // Journal of Instrumentation, Volume 16, May 2021. 2021 IOP Publishing Ltd and Sissa Medialab.</w:t>
      </w:r>
      <w:r>
        <w:rPr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DOI:10.1088/1748-0221/16/05/p05003.</w:t>
      </w:r>
    </w:p>
    <w:p>
      <w:pPr>
        <w:pStyle w:val="Normal"/>
        <w:numPr>
          <w:ilvl w:val="0"/>
          <w:numId w:val="0"/>
        </w:numPr>
        <w:pBdr/>
        <w:spacing w:lineRule="auto" w:line="240" w:before="0" w:after="0"/>
        <w:ind w:left="1440" w:hanging="0"/>
        <w:jc w:val="both"/>
        <w:rPr>
          <w:rFonts w:ascii="Times New Roman" w:hAnsi="Times New Roman" w:eastAsia="Times New Roman" w:cs="Times New Roman"/>
          <w:color w:val="212529"/>
          <w:sz w:val="24"/>
          <w:szCs w:val="24"/>
          <w:lang w:val="en-US"/>
        </w:rPr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1431" w:right="850" w:gutter="0" w:header="708" w:top="1134" w:footer="708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PT Serif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  <w:font w:name="Times New Roman">
    <w:charset w:val="01"/>
    <w:family w:val="roman"/>
    <w:pitch w:val="variable"/>
  </w:font>
  <w:font w:name="Helvetica Neue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lear" w:pos="720"/>
        <w:tab w:val="right" w:pos="9020" w:leader="none"/>
      </w:tabs>
      <w:spacing w:lineRule="auto" w:line="240" w:before="0" w:after="0"/>
      <w:rPr>
        <w:rFonts w:ascii="Helvetica Neue" w:hAnsi="Helvetica Neue" w:eastAsia="Helvetica Neue" w:cs="Helvetica Neue"/>
        <w:color w:val="000000"/>
        <w:sz w:val="24"/>
        <w:szCs w:val="24"/>
      </w:rPr>
    </w:pPr>
    <w:r>
      <w:rPr>
        <w:rFonts w:eastAsia="Helvetica Neue" w:cs="Helvetica Neue" w:ascii="Helvetica Neue" w:hAnsi="Helvetica Neue"/>
        <w:color w:val="000000"/>
        <w:sz w:val="24"/>
        <w:szCs w:val="24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lear" w:pos="720"/>
        <w:tab w:val="right" w:pos="9020" w:leader="none"/>
      </w:tabs>
      <w:spacing w:lineRule="auto" w:line="240" w:before="0" w:after="0"/>
      <w:rPr>
        <w:rFonts w:ascii="Helvetica Neue" w:hAnsi="Helvetica Neue" w:eastAsia="Helvetica Neue" w:cs="Helvetica Neue"/>
        <w:color w:val="000000"/>
        <w:sz w:val="24"/>
        <w:szCs w:val="24"/>
      </w:rPr>
    </w:pPr>
    <w:r>
      <w:rPr>
        <w:rFonts w:eastAsia="Helvetica Neue" w:cs="Helvetica Neue" w:ascii="Helvetica Neue" w:hAnsi="Helvetica Neue"/>
        <w:color w:val="000000"/>
        <w:sz w:val="24"/>
        <w:szCs w:val="24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80" w:hanging="72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/>
      <w:jc w:val="both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Текст трудов Знак"/>
    <w:basedOn w:val="DefaultParagraphFont"/>
    <w:link w:val="a7"/>
    <w:qFormat/>
    <w:rsid w:val="00b83d02"/>
    <w:rPr>
      <w:rFonts w:ascii="PT Serif" w:hAnsi="PT Serif" w:eastAsia="Times New Roman" w:cs="Times New Roman"/>
      <w:bCs/>
      <w:sz w:val="20"/>
      <w:lang w:eastAsia="ru-RU"/>
    </w:rPr>
  </w:style>
  <w:style w:type="character" w:styleId="Style9" w:customStyle="1">
    <w:name w:val="Основной текст Знак"/>
    <w:basedOn w:val="DefaultParagraphFont"/>
    <w:link w:val="a8"/>
    <w:uiPriority w:val="99"/>
    <w:semiHidden/>
    <w:qFormat/>
    <w:rsid w:val="00b83d02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TextBody">
    <w:name w:val="Body Text"/>
    <w:basedOn w:val="Normal"/>
    <w:link w:val="aa"/>
    <w:uiPriority w:val="99"/>
    <w:semiHidden/>
    <w:unhideWhenUsed/>
    <w:rsid w:val="00b83d02"/>
    <w:pPr>
      <w:spacing w:before="0" w:after="12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  <w:lang w:val="zxx" w:eastAsia="zxx" w:bidi="zxx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A" w:customStyle="1">
    <w:name w:val="Subtitle A"/>
    <w:next w:val="Normal"/>
    <w:qFormat/>
    <w:rsid w:val="004e1b21"/>
    <w:pPr>
      <w:widowControl/>
      <w:pBdr/>
      <w:tabs>
        <w:tab w:val="clear" w:pos="720"/>
        <w:tab w:val="left" w:pos="993" w:leader="none"/>
      </w:tabs>
      <w:bidi w:val="0"/>
      <w:spacing w:lineRule="auto" w:line="276" w:before="0" w:after="120"/>
      <w:ind w:firstLine="568"/>
      <w:jc w:val="left"/>
      <w:outlineLvl w:val="1"/>
    </w:pPr>
    <w:rPr>
      <w:rFonts w:ascii="Calibri" w:hAnsi="Calibri" w:eastAsia="Calibri" w:cs="Calibri"/>
      <w:b/>
      <w:bCs/>
      <w:color w:val="000000"/>
      <w:kern w:val="0"/>
      <w:sz w:val="22"/>
      <w:szCs w:val="22"/>
      <w:u w:val="none" w:color="000000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4e1b21"/>
    <w:pPr>
      <w:spacing w:before="0" w:after="200"/>
      <w:ind w:left="720" w:hanging="0"/>
      <w:contextualSpacing/>
    </w:pPr>
    <w:rPr/>
  </w:style>
  <w:style w:type="paragraph" w:styleId="Caption1">
    <w:name w:val="caption"/>
    <w:basedOn w:val="Normal"/>
    <w:next w:val="Normal"/>
    <w:uiPriority w:val="35"/>
    <w:unhideWhenUsed/>
    <w:qFormat/>
    <w:rsid w:val="008061f4"/>
    <w:pPr>
      <w:spacing w:lineRule="auto" w:line="240"/>
    </w:pPr>
    <w:rPr>
      <w:i/>
      <w:iCs/>
      <w:color w:val="1F497D" w:themeColor="text2"/>
      <w:sz w:val="18"/>
      <w:szCs w:val="18"/>
    </w:rPr>
  </w:style>
  <w:style w:type="paragraph" w:styleId="Style10" w:customStyle="1">
    <w:name w:val="Текст трудов"/>
    <w:basedOn w:val="TextBody"/>
    <w:link w:val="a9"/>
    <w:qFormat/>
    <w:rsid w:val="00b83d02"/>
    <w:pPr>
      <w:spacing w:lineRule="auto" w:line="240" w:before="0" w:after="0"/>
      <w:ind w:firstLine="397"/>
      <w:jc w:val="both"/>
    </w:pPr>
    <w:rPr>
      <w:rFonts w:ascii="PT Serif" w:hAnsi="PT Serif" w:eastAsia="Times New Roman" w:cs="Times New Roman"/>
      <w:bCs/>
      <w:sz w:val="20"/>
      <w:lang w:eastAsia="ru-RU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paragraph" w:styleId="LOnormal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Liberation Serif;Times New Roman" w:hAnsi="Liberation Serif;Times New Roman" w:eastAsia="Droid Sans Fallback" w:cs="Droid Sans Devanagari;Segoe UI"/>
      <w:color w:val="auto"/>
      <w:kern w:val="2"/>
      <w:sz w:val="24"/>
      <w:szCs w:val="24"/>
      <w:lang w:val="ru-RU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99"/>
    <w:rsid w:val="00d9458a"/>
    <w:pPr>
      <w:spacing w:after="0" w:line="240" w:lineRule="auto"/>
    </w:pPr>
    <w:rPr>
      <w:rFonts w:asciiTheme="minorHAnsi" w:hAnsiTheme="minorHAnsi" w:eastAsiaTheme="minorHAnsi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Сетка таблицы1"/>
    <w:basedOn w:val="a1"/>
    <w:uiPriority w:val="39"/>
    <w:rsid w:val="00d9458a"/>
    <w:pPr>
      <w:spacing w:after="0" w:line="240" w:lineRule="auto"/>
    </w:pPr>
    <w:rPr>
      <w:rFonts w:asciiTheme="minorHAnsi" w:hAnsiTheme="minorHAnsi" w:eastAsiaTheme="minorHAnsi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LibreOffice/7.2.3.2$Linux_X86_64 LibreOffice_project/a49ed84f3d037188bbbcb324f9afc3796d887539</Application>
  <AppVersion>15.0000</AppVersion>
  <Pages>2</Pages>
  <Words>450</Words>
  <Characters>3044</Characters>
  <CharactersWithSpaces>3497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2021-12-14T13:38:00Z</dcterms:created>
  <dc:creator>EVP</dc:creator>
  <dc:description/>
  <dc:language>en-US</dc:language>
  <cp:lastModifiedBy/>
  <dcterms:modified xsi:type="dcterms:W3CDTF">2021-12-18T09:46:57Z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